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A5AB" w14:textId="7283FB33" w:rsidR="00925A26" w:rsidRDefault="00677751" w:rsidP="0067775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UCSD Mouse Phenotyping Trichrome </w:t>
      </w:r>
      <w:proofErr w:type="spellStart"/>
      <w:r>
        <w:rPr>
          <w:rFonts w:ascii="Arial" w:hAnsi="Arial" w:cs="Arial"/>
        </w:rPr>
        <w:t>HistoChemistry</w:t>
      </w:r>
      <w:proofErr w:type="spellEnd"/>
      <w:r>
        <w:rPr>
          <w:rFonts w:ascii="Arial" w:hAnsi="Arial" w:cs="Arial"/>
        </w:rPr>
        <w:t xml:space="preserve"> (Masson’s Trichrome)</w:t>
      </w:r>
    </w:p>
    <w:p w14:paraId="0EC38B2F" w14:textId="77777777" w:rsidR="00677751" w:rsidRDefault="00677751" w:rsidP="00677751">
      <w:pPr>
        <w:jc w:val="center"/>
        <w:rPr>
          <w:rFonts w:ascii="Arial" w:hAnsi="Arial" w:cs="Arial"/>
        </w:rPr>
      </w:pPr>
    </w:p>
    <w:p w14:paraId="7EBF3980" w14:textId="77777777" w:rsidR="00677751" w:rsidRPr="00677751" w:rsidRDefault="00677751" w:rsidP="00677751">
      <w:pPr>
        <w:rPr>
          <w:rFonts w:ascii="Arial" w:hAnsi="Arial" w:cs="Arial"/>
          <w:b/>
        </w:rPr>
      </w:pPr>
      <w:r w:rsidRPr="00677751">
        <w:rPr>
          <w:rFonts w:ascii="Arial" w:hAnsi="Arial" w:cs="Arial"/>
          <w:b/>
        </w:rPr>
        <w:t>Reagents:</w:t>
      </w:r>
    </w:p>
    <w:p w14:paraId="090DE2E2" w14:textId="77777777" w:rsidR="00677751" w:rsidRPr="00677751" w:rsidRDefault="00677751" w:rsidP="0067775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677751">
        <w:rPr>
          <w:rFonts w:ascii="Arial" w:eastAsia="Times New Roman" w:hAnsi="Arial" w:cs="Arial"/>
          <w:sz w:val="24"/>
          <w:szCs w:val="24"/>
        </w:rPr>
        <w:t>Bouin’s</w:t>
      </w:r>
      <w:proofErr w:type="spellEnd"/>
      <w:r w:rsidRPr="00677751">
        <w:rPr>
          <w:rFonts w:ascii="Arial" w:eastAsia="Times New Roman" w:hAnsi="Arial" w:cs="Arial"/>
          <w:sz w:val="24"/>
          <w:szCs w:val="24"/>
        </w:rPr>
        <w:t xml:space="preserve"> Solution (</w:t>
      </w:r>
      <w:proofErr w:type="spellStart"/>
      <w:r w:rsidRPr="00677751">
        <w:rPr>
          <w:rFonts w:ascii="Arial" w:eastAsia="Times New Roman" w:hAnsi="Arial" w:cs="Arial"/>
          <w:sz w:val="24"/>
          <w:szCs w:val="24"/>
        </w:rPr>
        <w:t>Ricca</w:t>
      </w:r>
      <w:proofErr w:type="spellEnd"/>
      <w:r w:rsidRPr="00677751">
        <w:rPr>
          <w:rFonts w:ascii="Arial" w:eastAsia="Times New Roman" w:hAnsi="Arial" w:cs="Arial"/>
          <w:sz w:val="24"/>
          <w:szCs w:val="24"/>
        </w:rPr>
        <w:t xml:space="preserve"> Chemical Cat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677751">
        <w:rPr>
          <w:rFonts w:ascii="Arial" w:eastAsia="Times New Roman" w:hAnsi="Arial" w:cs="Arial"/>
          <w:sz w:val="24"/>
          <w:szCs w:val="24"/>
        </w:rPr>
        <w:t>#1120-32)</w:t>
      </w:r>
    </w:p>
    <w:p w14:paraId="74C5A37B" w14:textId="77777777" w:rsidR="00677751" w:rsidRPr="00677751" w:rsidRDefault="00677751" w:rsidP="0067775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677751">
        <w:rPr>
          <w:rFonts w:ascii="Arial" w:hAnsi="Arial" w:cs="Arial"/>
          <w:sz w:val="24"/>
          <w:szCs w:val="24"/>
        </w:rPr>
        <w:t>Weigert’s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Iron Hematoxylin Solution A (</w:t>
      </w:r>
      <w:proofErr w:type="spellStart"/>
      <w:r w:rsidRPr="00677751">
        <w:rPr>
          <w:rFonts w:ascii="Arial" w:hAnsi="Arial" w:cs="Arial"/>
          <w:sz w:val="24"/>
          <w:szCs w:val="24"/>
        </w:rPr>
        <w:t>Harleco</w:t>
      </w:r>
      <w:proofErr w:type="spellEnd"/>
      <w:r w:rsidRPr="00677751">
        <w:rPr>
          <w:rFonts w:ascii="Arial" w:eastAsia="Times New Roman" w:hAnsi="Arial" w:cs="Arial"/>
          <w:sz w:val="24"/>
          <w:szCs w:val="24"/>
        </w:rPr>
        <w:t xml:space="preserve"> Cat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677751">
        <w:rPr>
          <w:rFonts w:ascii="Arial" w:eastAsia="Times New Roman" w:hAnsi="Arial" w:cs="Arial"/>
          <w:sz w:val="24"/>
          <w:szCs w:val="24"/>
        </w:rPr>
        <w:t># 15204-220)</w:t>
      </w:r>
    </w:p>
    <w:p w14:paraId="5D1DAC67" w14:textId="77777777" w:rsidR="00677751" w:rsidRPr="00677751" w:rsidRDefault="00677751" w:rsidP="006777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77751">
        <w:rPr>
          <w:rFonts w:ascii="Arial" w:hAnsi="Arial" w:cs="Arial"/>
          <w:sz w:val="24"/>
          <w:szCs w:val="24"/>
        </w:rPr>
        <w:t>Weigert’s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Iron Hematoxylin Solution B (</w:t>
      </w:r>
      <w:proofErr w:type="spellStart"/>
      <w:r w:rsidRPr="00677751">
        <w:rPr>
          <w:rFonts w:ascii="Arial" w:hAnsi="Arial" w:cs="Arial"/>
          <w:sz w:val="24"/>
          <w:szCs w:val="24"/>
        </w:rPr>
        <w:t>Harleco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Cat</w:t>
      </w:r>
      <w:r>
        <w:rPr>
          <w:rFonts w:ascii="Arial" w:hAnsi="Arial" w:cs="Arial"/>
          <w:sz w:val="24"/>
          <w:szCs w:val="24"/>
        </w:rPr>
        <w:t xml:space="preserve">. </w:t>
      </w:r>
      <w:r w:rsidRPr="00677751">
        <w:rPr>
          <w:rFonts w:ascii="Arial" w:hAnsi="Arial" w:cs="Arial"/>
          <w:sz w:val="24"/>
          <w:szCs w:val="24"/>
        </w:rPr>
        <w:t>#</w:t>
      </w:r>
      <w:r w:rsidRPr="00677751">
        <w:rPr>
          <w:rFonts w:ascii="Arial" w:eastAsia="Times New Roman" w:hAnsi="Arial" w:cs="Arial"/>
          <w:sz w:val="24"/>
          <w:szCs w:val="24"/>
        </w:rPr>
        <w:t>15204-222)</w:t>
      </w:r>
    </w:p>
    <w:p w14:paraId="566BDC09" w14:textId="77777777" w:rsidR="00677751" w:rsidRPr="00677751" w:rsidRDefault="00677751" w:rsidP="006777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77751">
        <w:rPr>
          <w:rFonts w:ascii="Arial" w:eastAsia="Times New Roman" w:hAnsi="Arial" w:cs="Arial"/>
          <w:sz w:val="24"/>
          <w:szCs w:val="24"/>
        </w:rPr>
        <w:t>Bierbrich</w:t>
      </w:r>
      <w:proofErr w:type="spellEnd"/>
      <w:r w:rsidRPr="00677751">
        <w:rPr>
          <w:rFonts w:ascii="Arial" w:eastAsia="Times New Roman" w:hAnsi="Arial" w:cs="Arial"/>
          <w:sz w:val="24"/>
          <w:szCs w:val="24"/>
        </w:rPr>
        <w:t xml:space="preserve"> Scarlet-Acid </w:t>
      </w:r>
      <w:proofErr w:type="spellStart"/>
      <w:r w:rsidRPr="00677751">
        <w:rPr>
          <w:rFonts w:ascii="Arial" w:eastAsia="Times New Roman" w:hAnsi="Arial" w:cs="Arial"/>
          <w:sz w:val="24"/>
          <w:szCs w:val="24"/>
        </w:rPr>
        <w:t>Fuchsin</w:t>
      </w:r>
      <w:proofErr w:type="spellEnd"/>
      <w:r w:rsidRPr="00677751">
        <w:rPr>
          <w:rFonts w:ascii="Arial" w:eastAsia="Times New Roman" w:hAnsi="Arial" w:cs="Arial"/>
          <w:sz w:val="24"/>
          <w:szCs w:val="24"/>
        </w:rPr>
        <w:t xml:space="preserve"> Solution (Sigma Cat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677751">
        <w:rPr>
          <w:rFonts w:ascii="Arial" w:eastAsia="Times New Roman" w:hAnsi="Arial" w:cs="Arial"/>
          <w:sz w:val="24"/>
          <w:szCs w:val="24"/>
        </w:rPr>
        <w:t>#HT15-1)</w:t>
      </w:r>
    </w:p>
    <w:p w14:paraId="02E51F56" w14:textId="77777777" w:rsidR="00677751" w:rsidRPr="00677751" w:rsidRDefault="00677751" w:rsidP="006777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77751">
        <w:rPr>
          <w:rFonts w:ascii="Arial" w:eastAsia="Times New Roman" w:hAnsi="Arial" w:cs="Arial"/>
          <w:sz w:val="24"/>
          <w:szCs w:val="24"/>
        </w:rPr>
        <w:t>Phosphotungstic</w:t>
      </w:r>
      <w:proofErr w:type="spellEnd"/>
      <w:r w:rsidRPr="00677751">
        <w:rPr>
          <w:rFonts w:ascii="Arial" w:eastAsia="Times New Roman" w:hAnsi="Arial" w:cs="Arial"/>
          <w:sz w:val="24"/>
          <w:szCs w:val="24"/>
        </w:rPr>
        <w:t xml:space="preserve"> Acid Solution or PTA (Sigma Cat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677751">
        <w:rPr>
          <w:rFonts w:ascii="Arial" w:eastAsia="Times New Roman" w:hAnsi="Arial" w:cs="Arial"/>
          <w:sz w:val="24"/>
          <w:szCs w:val="24"/>
        </w:rPr>
        <w:t>#HT15-2)</w:t>
      </w:r>
    </w:p>
    <w:p w14:paraId="2AEFE675" w14:textId="77777777" w:rsidR="00677751" w:rsidRPr="00677751" w:rsidRDefault="00677751" w:rsidP="006777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eastAsia="Times New Roman" w:hAnsi="Arial" w:cs="Arial"/>
          <w:sz w:val="24"/>
          <w:szCs w:val="24"/>
        </w:rPr>
        <w:t>Phosphomolybdic Acid Solution or PMA (Sigma Cat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677751">
        <w:rPr>
          <w:rFonts w:ascii="Arial" w:eastAsia="Times New Roman" w:hAnsi="Arial" w:cs="Arial"/>
          <w:sz w:val="24"/>
          <w:szCs w:val="24"/>
        </w:rPr>
        <w:t>#HT15-3)</w:t>
      </w:r>
    </w:p>
    <w:p w14:paraId="5068E388" w14:textId="77777777" w:rsidR="00677751" w:rsidRPr="00677751" w:rsidRDefault="00677751" w:rsidP="006777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>Aniline Blue Solution (Sigma Cat</w:t>
      </w:r>
      <w:r>
        <w:rPr>
          <w:rFonts w:ascii="Arial" w:hAnsi="Arial" w:cs="Arial"/>
          <w:sz w:val="24"/>
          <w:szCs w:val="24"/>
        </w:rPr>
        <w:t xml:space="preserve">. </w:t>
      </w:r>
      <w:r w:rsidRPr="00677751">
        <w:rPr>
          <w:rFonts w:ascii="Arial" w:hAnsi="Arial" w:cs="Arial"/>
          <w:sz w:val="24"/>
          <w:szCs w:val="24"/>
        </w:rPr>
        <w:t>#HT15-4)</w:t>
      </w:r>
    </w:p>
    <w:p w14:paraId="62EDBEC2" w14:textId="77777777" w:rsidR="00677751" w:rsidRPr="00677751" w:rsidRDefault="00677751" w:rsidP="006777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>Glacial Acetic Acid (Fisher Scientific Cat</w:t>
      </w:r>
      <w:r>
        <w:rPr>
          <w:rFonts w:ascii="Arial" w:hAnsi="Arial" w:cs="Arial"/>
          <w:sz w:val="24"/>
          <w:szCs w:val="24"/>
        </w:rPr>
        <w:t xml:space="preserve">. </w:t>
      </w:r>
      <w:r w:rsidRPr="00677751">
        <w:rPr>
          <w:rFonts w:ascii="Arial" w:hAnsi="Arial" w:cs="Arial"/>
          <w:sz w:val="24"/>
          <w:szCs w:val="24"/>
        </w:rPr>
        <w:t>#A38-500)</w:t>
      </w:r>
    </w:p>
    <w:p w14:paraId="55BBF6F6" w14:textId="77777777" w:rsidR="00677751" w:rsidRPr="00677751" w:rsidRDefault="00677751" w:rsidP="00677751">
      <w:pPr>
        <w:rPr>
          <w:rFonts w:ascii="Arial" w:hAnsi="Arial" w:cs="Arial"/>
          <w:b/>
        </w:rPr>
      </w:pPr>
      <w:r w:rsidRPr="00677751">
        <w:rPr>
          <w:rFonts w:ascii="Arial" w:hAnsi="Arial" w:cs="Arial"/>
          <w:b/>
        </w:rPr>
        <w:t>Preparation of Reagents:</w:t>
      </w:r>
    </w:p>
    <w:p w14:paraId="26FE1715" w14:textId="77777777" w:rsidR="00677751" w:rsidRPr="00677751" w:rsidRDefault="00677751" w:rsidP="00677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</w:t>
      </w:r>
      <w:proofErr w:type="spellStart"/>
      <w:r w:rsidRPr="00677751">
        <w:rPr>
          <w:rFonts w:ascii="Arial" w:hAnsi="Arial" w:cs="Arial"/>
          <w:sz w:val="24"/>
          <w:szCs w:val="24"/>
        </w:rPr>
        <w:t>Weigert’s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Iron Hematoxylin by </w:t>
      </w:r>
      <w:r>
        <w:rPr>
          <w:rFonts w:ascii="Arial" w:hAnsi="Arial" w:cs="Arial"/>
          <w:sz w:val="24"/>
          <w:szCs w:val="24"/>
        </w:rPr>
        <w:t xml:space="preserve">diluting a ration of </w:t>
      </w:r>
      <w:proofErr w:type="gramStart"/>
      <w:r w:rsidRPr="00677751">
        <w:rPr>
          <w:rFonts w:ascii="Arial" w:hAnsi="Arial" w:cs="Arial"/>
          <w:sz w:val="24"/>
          <w:szCs w:val="24"/>
        </w:rPr>
        <w:t xml:space="preserve">1:1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using </w:t>
      </w:r>
      <w:r w:rsidRPr="00677751">
        <w:rPr>
          <w:rFonts w:ascii="Arial" w:hAnsi="Arial" w:cs="Arial"/>
          <w:sz w:val="24"/>
          <w:szCs w:val="24"/>
        </w:rPr>
        <w:t>Solution A and B (</w:t>
      </w:r>
      <w:r>
        <w:rPr>
          <w:rFonts w:ascii="Arial" w:hAnsi="Arial" w:cs="Arial"/>
          <w:sz w:val="24"/>
          <w:szCs w:val="24"/>
        </w:rPr>
        <w:t xml:space="preserve">this solution can be reused for up to 2 </w:t>
      </w:r>
      <w:r w:rsidRPr="00677751">
        <w:rPr>
          <w:rFonts w:ascii="Arial" w:hAnsi="Arial" w:cs="Arial"/>
          <w:sz w:val="24"/>
          <w:szCs w:val="24"/>
        </w:rPr>
        <w:t>weeks)</w:t>
      </w:r>
    </w:p>
    <w:p w14:paraId="7CC840B0" w14:textId="77777777" w:rsidR="00677751" w:rsidRDefault="00677751" w:rsidP="00677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>Fresh Working Phosphomolybdic/</w:t>
      </w:r>
      <w:proofErr w:type="spellStart"/>
      <w:r w:rsidRPr="00677751">
        <w:rPr>
          <w:rFonts w:ascii="Arial" w:hAnsi="Arial" w:cs="Arial"/>
          <w:sz w:val="24"/>
          <w:szCs w:val="24"/>
        </w:rPr>
        <w:t>Phosphotungstic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Acid Solution </w:t>
      </w:r>
      <w:r>
        <w:rPr>
          <w:rFonts w:ascii="Arial" w:hAnsi="Arial" w:cs="Arial"/>
          <w:sz w:val="24"/>
          <w:szCs w:val="24"/>
        </w:rPr>
        <w:t xml:space="preserve">is composed of </w:t>
      </w:r>
      <w:r w:rsidRPr="00677751">
        <w:rPr>
          <w:rFonts w:ascii="Arial" w:hAnsi="Arial" w:cs="Arial"/>
          <w:sz w:val="24"/>
          <w:szCs w:val="24"/>
        </w:rPr>
        <w:t>4 parts</w:t>
      </w:r>
      <w:r>
        <w:rPr>
          <w:rFonts w:ascii="Arial" w:hAnsi="Arial" w:cs="Arial"/>
          <w:sz w:val="24"/>
          <w:szCs w:val="24"/>
        </w:rPr>
        <w:t>:</w:t>
      </w:r>
    </w:p>
    <w:p w14:paraId="2966ABC1" w14:textId="7FD53BD0" w:rsidR="00677751" w:rsidRPr="00677751" w:rsidRDefault="00677751" w:rsidP="00677751">
      <w:pPr>
        <w:pStyle w:val="ListParagraph"/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 xml:space="preserve"> (1 part PMA, 1 part PTA, 2 parts </w:t>
      </w:r>
      <w:proofErr w:type="spellStart"/>
      <w:r w:rsidRPr="00677751">
        <w:rPr>
          <w:rFonts w:ascii="Arial" w:hAnsi="Arial" w:cs="Arial"/>
          <w:sz w:val="24"/>
          <w:szCs w:val="24"/>
        </w:rPr>
        <w:t>M</w:t>
      </w:r>
      <w:r w:rsidR="00FF7B74">
        <w:rPr>
          <w:rFonts w:ascii="Arial" w:hAnsi="Arial" w:cs="Arial"/>
          <w:sz w:val="24"/>
          <w:szCs w:val="24"/>
        </w:rPr>
        <w:t>illi</w:t>
      </w:r>
      <w:r w:rsidRPr="00677751">
        <w:rPr>
          <w:rFonts w:ascii="Arial" w:hAnsi="Arial" w:cs="Arial"/>
          <w:sz w:val="24"/>
          <w:szCs w:val="24"/>
        </w:rPr>
        <w:t>Q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water): Now </w:t>
      </w:r>
      <w:r>
        <w:rPr>
          <w:rFonts w:ascii="Arial" w:hAnsi="Arial" w:cs="Arial"/>
          <w:sz w:val="24"/>
          <w:szCs w:val="24"/>
        </w:rPr>
        <w:t xml:space="preserve">referred to </w:t>
      </w:r>
      <w:proofErr w:type="gramStart"/>
      <w:r>
        <w:rPr>
          <w:rFonts w:ascii="Arial" w:hAnsi="Arial" w:cs="Arial"/>
          <w:sz w:val="24"/>
          <w:szCs w:val="24"/>
        </w:rPr>
        <w:t xml:space="preserve">as </w:t>
      </w:r>
      <w:r w:rsidRPr="00677751">
        <w:rPr>
          <w:rFonts w:ascii="Arial" w:hAnsi="Arial" w:cs="Arial"/>
          <w:sz w:val="24"/>
          <w:szCs w:val="24"/>
        </w:rPr>
        <w:t xml:space="preserve"> PMA</w:t>
      </w:r>
      <w:proofErr w:type="gramEnd"/>
      <w:r w:rsidRPr="00677751">
        <w:rPr>
          <w:rFonts w:ascii="Arial" w:hAnsi="Arial" w:cs="Arial"/>
          <w:sz w:val="24"/>
          <w:szCs w:val="24"/>
        </w:rPr>
        <w:t>/PTA Solution</w:t>
      </w:r>
      <w:r w:rsidR="00FF7B74">
        <w:rPr>
          <w:rFonts w:ascii="Arial" w:hAnsi="Arial" w:cs="Arial"/>
          <w:sz w:val="24"/>
          <w:szCs w:val="24"/>
        </w:rPr>
        <w:t>.</w:t>
      </w:r>
    </w:p>
    <w:p w14:paraId="62D7E2DA" w14:textId="77777777" w:rsidR="00677751" w:rsidRDefault="00677751" w:rsidP="00677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>1% glacial acetic acid (</w:t>
      </w:r>
      <w:r>
        <w:rPr>
          <w:rFonts w:ascii="Arial" w:hAnsi="Arial" w:cs="Arial"/>
          <w:sz w:val="24"/>
          <w:szCs w:val="24"/>
        </w:rPr>
        <w:t xml:space="preserve">in the Fume Hood, add </w:t>
      </w:r>
      <w:r w:rsidRPr="00677751">
        <w:rPr>
          <w:rFonts w:ascii="Arial" w:hAnsi="Arial" w:cs="Arial"/>
          <w:sz w:val="24"/>
          <w:szCs w:val="24"/>
        </w:rPr>
        <w:t xml:space="preserve">100mL </w:t>
      </w:r>
      <w:r>
        <w:rPr>
          <w:rFonts w:ascii="Arial" w:hAnsi="Arial" w:cs="Arial"/>
          <w:sz w:val="24"/>
          <w:szCs w:val="24"/>
        </w:rPr>
        <w:t xml:space="preserve">of glacial acetic </w:t>
      </w:r>
      <w:r w:rsidRPr="00677751">
        <w:rPr>
          <w:rFonts w:ascii="Arial" w:hAnsi="Arial" w:cs="Arial"/>
          <w:sz w:val="24"/>
          <w:szCs w:val="24"/>
        </w:rPr>
        <w:t xml:space="preserve">acid to 1L MQ water) </w:t>
      </w:r>
    </w:p>
    <w:p w14:paraId="0F26B9F0" w14:textId="77777777" w:rsidR="00677751" w:rsidRPr="00677751" w:rsidRDefault="00677751" w:rsidP="00677751">
      <w:pPr>
        <w:rPr>
          <w:rFonts w:ascii="Arial" w:hAnsi="Arial" w:cs="Arial"/>
          <w:b/>
        </w:rPr>
      </w:pPr>
      <w:r w:rsidRPr="00677751">
        <w:rPr>
          <w:rFonts w:ascii="Arial" w:hAnsi="Arial" w:cs="Arial"/>
          <w:b/>
        </w:rPr>
        <w:t>Staining Method:</w:t>
      </w:r>
    </w:p>
    <w:p w14:paraId="5BB7DF83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-P</w:t>
      </w:r>
      <w:r w:rsidRPr="00677751">
        <w:rPr>
          <w:rFonts w:ascii="Arial" w:hAnsi="Arial" w:cs="Arial"/>
          <w:sz w:val="24"/>
          <w:szCs w:val="24"/>
        </w:rPr>
        <w:t xml:space="preserve">araffinize and </w:t>
      </w:r>
      <w:r>
        <w:rPr>
          <w:rFonts w:ascii="Arial" w:hAnsi="Arial" w:cs="Arial"/>
          <w:sz w:val="24"/>
          <w:szCs w:val="24"/>
        </w:rPr>
        <w:t>re-</w:t>
      </w:r>
      <w:r w:rsidRPr="00677751">
        <w:rPr>
          <w:rFonts w:ascii="Arial" w:hAnsi="Arial" w:cs="Arial"/>
          <w:sz w:val="24"/>
          <w:szCs w:val="24"/>
        </w:rPr>
        <w:t>hydrate</w:t>
      </w:r>
      <w:r>
        <w:rPr>
          <w:rFonts w:ascii="Arial" w:hAnsi="Arial" w:cs="Arial"/>
          <w:sz w:val="24"/>
          <w:szCs w:val="24"/>
        </w:rPr>
        <w:t xml:space="preserve"> sections on slides</w:t>
      </w:r>
    </w:p>
    <w:p w14:paraId="38068EB0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 xml:space="preserve">Place </w:t>
      </w:r>
      <w:r>
        <w:rPr>
          <w:rFonts w:ascii="Arial" w:hAnsi="Arial" w:cs="Arial"/>
          <w:sz w:val="24"/>
          <w:szCs w:val="24"/>
        </w:rPr>
        <w:t xml:space="preserve">slides </w:t>
      </w:r>
      <w:r w:rsidRPr="0067775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Fume Hood in a container </w:t>
      </w:r>
      <w:proofErr w:type="gramStart"/>
      <w:r>
        <w:rPr>
          <w:rFonts w:ascii="Arial" w:hAnsi="Arial" w:cs="Arial"/>
          <w:sz w:val="24"/>
          <w:szCs w:val="24"/>
        </w:rPr>
        <w:t xml:space="preserve">of </w:t>
      </w:r>
      <w:r w:rsidRPr="00677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751">
        <w:rPr>
          <w:rFonts w:ascii="Arial" w:hAnsi="Arial" w:cs="Arial"/>
          <w:sz w:val="24"/>
          <w:szCs w:val="24"/>
        </w:rPr>
        <w:t>Bouin’s</w:t>
      </w:r>
      <w:proofErr w:type="spellEnd"/>
      <w:proofErr w:type="gramEnd"/>
      <w:r w:rsidRPr="00677751">
        <w:rPr>
          <w:rFonts w:ascii="Arial" w:hAnsi="Arial" w:cs="Arial"/>
          <w:sz w:val="24"/>
          <w:szCs w:val="24"/>
        </w:rPr>
        <w:t xml:space="preserve"> Solution</w:t>
      </w:r>
      <w:r>
        <w:rPr>
          <w:rFonts w:ascii="Arial" w:hAnsi="Arial" w:cs="Arial"/>
          <w:sz w:val="24"/>
          <w:szCs w:val="24"/>
        </w:rPr>
        <w:t xml:space="preserve">, either </w:t>
      </w:r>
      <w:r w:rsidRPr="00677751">
        <w:rPr>
          <w:rFonts w:ascii="Arial" w:hAnsi="Arial" w:cs="Arial"/>
          <w:sz w:val="24"/>
          <w:szCs w:val="24"/>
        </w:rPr>
        <w:t xml:space="preserve"> overnight at R</w:t>
      </w:r>
      <w:r>
        <w:rPr>
          <w:rFonts w:ascii="Arial" w:hAnsi="Arial" w:cs="Arial"/>
          <w:sz w:val="24"/>
          <w:szCs w:val="24"/>
        </w:rPr>
        <w:t xml:space="preserve">oom </w:t>
      </w:r>
      <w:r w:rsidRPr="0067775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emperature OR for 1 hour in a  60°C oven.</w:t>
      </w:r>
    </w:p>
    <w:p w14:paraId="6E9CD791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slides in a slide rack, in </w:t>
      </w:r>
      <w:r w:rsidRPr="00677751">
        <w:rPr>
          <w:rFonts w:ascii="Arial" w:hAnsi="Arial" w:cs="Arial"/>
          <w:sz w:val="24"/>
          <w:szCs w:val="24"/>
        </w:rPr>
        <w:t>Running tap water</w:t>
      </w:r>
      <w:r>
        <w:rPr>
          <w:rFonts w:ascii="Arial" w:hAnsi="Arial" w:cs="Arial"/>
          <w:sz w:val="24"/>
          <w:szCs w:val="24"/>
        </w:rPr>
        <w:t>, until the y</w:t>
      </w:r>
      <w:r w:rsidRPr="00677751">
        <w:rPr>
          <w:rFonts w:ascii="Arial" w:hAnsi="Arial" w:cs="Arial"/>
          <w:sz w:val="24"/>
          <w:szCs w:val="24"/>
        </w:rPr>
        <w:t xml:space="preserve">ellow color </w:t>
      </w:r>
      <w:r>
        <w:rPr>
          <w:rFonts w:ascii="Arial" w:hAnsi="Arial" w:cs="Arial"/>
          <w:sz w:val="24"/>
          <w:szCs w:val="24"/>
        </w:rPr>
        <w:t>is washed away</w:t>
      </w:r>
    </w:p>
    <w:p w14:paraId="1206C985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slides in a tub of </w:t>
      </w:r>
      <w:proofErr w:type="spellStart"/>
      <w:r w:rsidRPr="00677751">
        <w:rPr>
          <w:rFonts w:ascii="Arial" w:hAnsi="Arial" w:cs="Arial"/>
          <w:sz w:val="24"/>
          <w:szCs w:val="24"/>
        </w:rPr>
        <w:t>Weigert’s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Iron Hematoxylin </w:t>
      </w:r>
      <w:r>
        <w:rPr>
          <w:rFonts w:ascii="Arial" w:hAnsi="Arial" w:cs="Arial"/>
          <w:sz w:val="24"/>
          <w:szCs w:val="24"/>
        </w:rPr>
        <w:t xml:space="preserve">solution </w:t>
      </w:r>
      <w:r w:rsidRPr="00677751">
        <w:rPr>
          <w:rFonts w:ascii="Arial" w:hAnsi="Arial" w:cs="Arial"/>
          <w:sz w:val="24"/>
          <w:szCs w:val="24"/>
        </w:rPr>
        <w:t xml:space="preserve">for </w:t>
      </w:r>
      <w:r w:rsidRPr="00677751">
        <w:rPr>
          <w:rFonts w:ascii="Arial" w:hAnsi="Arial" w:cs="Arial"/>
          <w:i/>
          <w:sz w:val="24"/>
          <w:szCs w:val="24"/>
          <w:u w:val="single"/>
        </w:rPr>
        <w:t>5 minutes</w:t>
      </w:r>
    </w:p>
    <w:p w14:paraId="296D9FE7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Wash slides in </w:t>
      </w:r>
      <w:r w:rsidRPr="00677751">
        <w:rPr>
          <w:rFonts w:ascii="Arial" w:hAnsi="Arial" w:cs="Arial"/>
          <w:sz w:val="24"/>
          <w:szCs w:val="24"/>
        </w:rPr>
        <w:t xml:space="preserve">Running tap water for </w:t>
      </w:r>
      <w:r w:rsidRPr="00677751">
        <w:rPr>
          <w:rFonts w:ascii="Arial" w:hAnsi="Arial" w:cs="Arial"/>
          <w:i/>
          <w:sz w:val="24"/>
          <w:szCs w:val="24"/>
          <w:u w:val="single"/>
        </w:rPr>
        <w:t>5 minutes</w:t>
      </w:r>
    </w:p>
    <w:p w14:paraId="6D9C1750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 xml:space="preserve">Rinse </w:t>
      </w:r>
      <w:r>
        <w:rPr>
          <w:rFonts w:ascii="Arial" w:hAnsi="Arial" w:cs="Arial"/>
          <w:sz w:val="24"/>
          <w:szCs w:val="24"/>
        </w:rPr>
        <w:t xml:space="preserve">slides </w:t>
      </w:r>
      <w:r w:rsidRPr="00677751">
        <w:rPr>
          <w:rFonts w:ascii="Arial" w:hAnsi="Arial" w:cs="Arial"/>
          <w:sz w:val="24"/>
          <w:szCs w:val="24"/>
        </w:rPr>
        <w:t xml:space="preserve">in DI water for </w:t>
      </w:r>
      <w:r w:rsidRPr="00677751">
        <w:rPr>
          <w:rFonts w:ascii="Arial" w:hAnsi="Arial" w:cs="Arial"/>
          <w:i/>
          <w:sz w:val="24"/>
          <w:szCs w:val="24"/>
          <w:u w:val="single"/>
        </w:rPr>
        <w:t>10 dips</w:t>
      </w:r>
    </w:p>
    <w:p w14:paraId="18375353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slides in </w:t>
      </w:r>
      <w:proofErr w:type="spellStart"/>
      <w:r w:rsidRPr="00677751">
        <w:rPr>
          <w:rFonts w:ascii="Arial" w:hAnsi="Arial" w:cs="Arial"/>
          <w:sz w:val="24"/>
          <w:szCs w:val="24"/>
        </w:rPr>
        <w:t>Bierbrich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Scarlet-Acid </w:t>
      </w:r>
      <w:proofErr w:type="spellStart"/>
      <w:r w:rsidRPr="00677751">
        <w:rPr>
          <w:rFonts w:ascii="Arial" w:hAnsi="Arial" w:cs="Arial"/>
          <w:sz w:val="24"/>
          <w:szCs w:val="24"/>
        </w:rPr>
        <w:t>Fuchsin</w:t>
      </w:r>
      <w:proofErr w:type="spellEnd"/>
      <w:r w:rsidRPr="00677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solution </w:t>
      </w:r>
      <w:r w:rsidRPr="00677751">
        <w:rPr>
          <w:rFonts w:ascii="Arial" w:hAnsi="Arial" w:cs="Arial"/>
          <w:sz w:val="24"/>
          <w:szCs w:val="24"/>
        </w:rPr>
        <w:t xml:space="preserve">for </w:t>
      </w:r>
      <w:r w:rsidRPr="00677751">
        <w:rPr>
          <w:rFonts w:ascii="Arial" w:hAnsi="Arial" w:cs="Arial"/>
          <w:i/>
          <w:sz w:val="24"/>
          <w:szCs w:val="24"/>
          <w:u w:val="single"/>
        </w:rPr>
        <w:t>5 minutes</w:t>
      </w:r>
    </w:p>
    <w:p w14:paraId="1D8442FD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 slides to be rinsed 3x times </w:t>
      </w:r>
      <w:r w:rsidRPr="00677751">
        <w:rPr>
          <w:rFonts w:ascii="Arial" w:hAnsi="Arial" w:cs="Arial"/>
          <w:sz w:val="24"/>
          <w:szCs w:val="24"/>
        </w:rPr>
        <w:t xml:space="preserve">in DI </w:t>
      </w:r>
      <w:proofErr w:type="gramStart"/>
      <w:r w:rsidRPr="00677751">
        <w:rPr>
          <w:rFonts w:ascii="Arial" w:hAnsi="Arial" w:cs="Arial"/>
          <w:sz w:val="24"/>
          <w:szCs w:val="24"/>
        </w:rPr>
        <w:t xml:space="preserve">water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with at least</w:t>
      </w:r>
      <w:r w:rsidRPr="00677751">
        <w:rPr>
          <w:rFonts w:ascii="Arial" w:hAnsi="Arial" w:cs="Arial"/>
          <w:sz w:val="24"/>
          <w:szCs w:val="24"/>
        </w:rPr>
        <w:t xml:space="preserve"> </w:t>
      </w:r>
      <w:r w:rsidRPr="00677751">
        <w:rPr>
          <w:rFonts w:ascii="Arial" w:hAnsi="Arial" w:cs="Arial"/>
          <w:i/>
          <w:sz w:val="24"/>
          <w:szCs w:val="24"/>
          <w:u w:val="single"/>
        </w:rPr>
        <w:t>10 dips each</w:t>
      </w:r>
    </w:p>
    <w:p w14:paraId="760AA159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slides in </w:t>
      </w:r>
      <w:r w:rsidRPr="00677751">
        <w:rPr>
          <w:rFonts w:ascii="Arial" w:hAnsi="Arial" w:cs="Arial"/>
          <w:sz w:val="24"/>
          <w:szCs w:val="24"/>
        </w:rPr>
        <w:t xml:space="preserve">Working PMA/PTA Solution for </w:t>
      </w:r>
      <w:r w:rsidRPr="00677751">
        <w:rPr>
          <w:rFonts w:ascii="Arial" w:hAnsi="Arial" w:cs="Arial"/>
          <w:i/>
          <w:sz w:val="24"/>
          <w:szCs w:val="24"/>
          <w:u w:val="single"/>
        </w:rPr>
        <w:t>5 minutes</w:t>
      </w:r>
    </w:p>
    <w:p w14:paraId="10DCD171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slides in </w:t>
      </w:r>
      <w:r w:rsidRPr="00677751">
        <w:rPr>
          <w:rFonts w:ascii="Arial" w:hAnsi="Arial" w:cs="Arial"/>
          <w:sz w:val="24"/>
          <w:szCs w:val="24"/>
        </w:rPr>
        <w:t xml:space="preserve">“Old” Aniline Blue for </w:t>
      </w:r>
      <w:r w:rsidRPr="00677751">
        <w:rPr>
          <w:rFonts w:ascii="Arial" w:hAnsi="Arial" w:cs="Arial"/>
          <w:i/>
          <w:sz w:val="24"/>
          <w:szCs w:val="24"/>
          <w:u w:val="single"/>
        </w:rPr>
        <w:t xml:space="preserve">1 </w:t>
      </w:r>
      <w:proofErr w:type="gramStart"/>
      <w:r w:rsidRPr="00677751">
        <w:rPr>
          <w:rFonts w:ascii="Arial" w:hAnsi="Arial" w:cs="Arial"/>
          <w:i/>
          <w:sz w:val="24"/>
          <w:szCs w:val="24"/>
          <w:u w:val="single"/>
        </w:rPr>
        <w:t>dip</w:t>
      </w:r>
      <w:r w:rsidR="00BB14F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BB14F7">
        <w:rPr>
          <w:rFonts w:ascii="Arial" w:hAnsi="Arial" w:cs="Arial"/>
          <w:i/>
          <w:sz w:val="24"/>
          <w:szCs w:val="24"/>
        </w:rPr>
        <w:t xml:space="preserve"> </w:t>
      </w:r>
      <w:r w:rsidRPr="00677751">
        <w:rPr>
          <w:rFonts w:ascii="Arial" w:hAnsi="Arial" w:cs="Arial"/>
          <w:sz w:val="24"/>
          <w:szCs w:val="24"/>
        </w:rPr>
        <w:t>(</w:t>
      </w:r>
      <w:proofErr w:type="gramEnd"/>
      <w:r w:rsidR="00BB14F7">
        <w:rPr>
          <w:rFonts w:ascii="Arial" w:hAnsi="Arial" w:cs="Arial"/>
          <w:sz w:val="24"/>
          <w:szCs w:val="24"/>
        </w:rPr>
        <w:t>to prevent “contamination” of Aniline Blue with left-over PMA/PTA)</w:t>
      </w:r>
    </w:p>
    <w:p w14:paraId="025B8424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slides in New </w:t>
      </w:r>
      <w:r w:rsidRPr="00677751">
        <w:rPr>
          <w:rFonts w:ascii="Arial" w:hAnsi="Arial" w:cs="Arial"/>
          <w:sz w:val="24"/>
          <w:szCs w:val="24"/>
        </w:rPr>
        <w:t xml:space="preserve">Aniline Blue for </w:t>
      </w:r>
      <w:r w:rsidRPr="00677751">
        <w:rPr>
          <w:rFonts w:ascii="Arial" w:hAnsi="Arial" w:cs="Arial"/>
          <w:i/>
          <w:sz w:val="24"/>
          <w:szCs w:val="24"/>
          <w:u w:val="single"/>
        </w:rPr>
        <w:t>5 minutes</w:t>
      </w:r>
    </w:p>
    <w:p w14:paraId="0BE91360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slides in </w:t>
      </w:r>
      <w:r w:rsidRPr="00677751">
        <w:rPr>
          <w:rFonts w:ascii="Arial" w:hAnsi="Arial" w:cs="Arial"/>
          <w:sz w:val="24"/>
          <w:szCs w:val="24"/>
        </w:rPr>
        <w:t xml:space="preserve">1% Glacial Acetic Acid/MQ water for </w:t>
      </w:r>
      <w:r w:rsidRPr="00677751">
        <w:rPr>
          <w:rFonts w:ascii="Arial" w:hAnsi="Arial" w:cs="Arial"/>
          <w:i/>
          <w:sz w:val="24"/>
          <w:szCs w:val="24"/>
          <w:u w:val="single"/>
        </w:rPr>
        <w:t>2 minutes</w:t>
      </w:r>
    </w:p>
    <w:p w14:paraId="0799097F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slides to be rinsed</w:t>
      </w:r>
      <w:r w:rsidRPr="00677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times</w:t>
      </w:r>
      <w:r w:rsidRPr="00677751">
        <w:rPr>
          <w:rFonts w:ascii="Arial" w:hAnsi="Arial" w:cs="Arial"/>
          <w:sz w:val="24"/>
          <w:szCs w:val="24"/>
        </w:rPr>
        <w:t xml:space="preserve"> in DI water for </w:t>
      </w:r>
      <w:r w:rsidRPr="00677751">
        <w:rPr>
          <w:rFonts w:ascii="Arial" w:hAnsi="Arial" w:cs="Arial"/>
          <w:i/>
          <w:sz w:val="24"/>
          <w:szCs w:val="24"/>
          <w:u w:val="single"/>
        </w:rPr>
        <w:t>10 dips each</w:t>
      </w:r>
    </w:p>
    <w:p w14:paraId="150DF96A" w14:textId="77777777" w:rsidR="00677751" w:rsidRPr="00677751" w:rsidRDefault="00677751" w:rsidP="006777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>Dehydrate and clear</w:t>
      </w:r>
      <w:r>
        <w:rPr>
          <w:rFonts w:ascii="Arial" w:hAnsi="Arial" w:cs="Arial"/>
          <w:sz w:val="24"/>
          <w:szCs w:val="24"/>
        </w:rPr>
        <w:t xml:space="preserve"> in xylene in the fume hood and mount using permanent mounting medium</w:t>
      </w:r>
    </w:p>
    <w:p w14:paraId="54260923" w14:textId="77777777" w:rsidR="00677751" w:rsidRPr="00677751" w:rsidRDefault="00677751" w:rsidP="00677751">
      <w:pPr>
        <w:rPr>
          <w:rFonts w:ascii="Arial" w:hAnsi="Arial" w:cs="Arial"/>
        </w:rPr>
      </w:pPr>
      <w:r w:rsidRPr="00677751">
        <w:rPr>
          <w:rFonts w:ascii="Arial" w:hAnsi="Arial" w:cs="Arial"/>
          <w:b/>
        </w:rPr>
        <w:t>Control Tissue:</w:t>
      </w:r>
    </w:p>
    <w:p w14:paraId="52396E69" w14:textId="77777777" w:rsidR="00677751" w:rsidRPr="00677751" w:rsidRDefault="00677751" w:rsidP="006777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>Colon</w:t>
      </w:r>
      <w:r>
        <w:rPr>
          <w:rFonts w:ascii="Arial" w:hAnsi="Arial" w:cs="Arial"/>
          <w:sz w:val="24"/>
          <w:szCs w:val="24"/>
        </w:rPr>
        <w:t xml:space="preserve"> or </w:t>
      </w:r>
      <w:r w:rsidRPr="00677751">
        <w:rPr>
          <w:rFonts w:ascii="Arial" w:hAnsi="Arial" w:cs="Arial"/>
          <w:sz w:val="24"/>
          <w:szCs w:val="24"/>
        </w:rPr>
        <w:t xml:space="preserve">Lung </w:t>
      </w:r>
    </w:p>
    <w:p w14:paraId="004DA52A" w14:textId="77777777" w:rsidR="00677751" w:rsidRPr="00677751" w:rsidRDefault="00677751" w:rsidP="00677751">
      <w:pPr>
        <w:rPr>
          <w:rFonts w:ascii="Arial" w:hAnsi="Arial" w:cs="Arial"/>
        </w:rPr>
      </w:pPr>
      <w:r w:rsidRPr="00677751">
        <w:rPr>
          <w:rFonts w:ascii="Arial" w:hAnsi="Arial" w:cs="Arial"/>
          <w:b/>
        </w:rPr>
        <w:t>Expected Appearance:</w:t>
      </w:r>
    </w:p>
    <w:p w14:paraId="3DC5E8C4" w14:textId="77777777" w:rsidR="00677751" w:rsidRDefault="00677751" w:rsidP="0067775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 xml:space="preserve">Blue – </w:t>
      </w:r>
      <w:proofErr w:type="gramStart"/>
      <w:r w:rsidRPr="00677751">
        <w:rPr>
          <w:rFonts w:ascii="Arial" w:hAnsi="Arial" w:cs="Arial"/>
          <w:sz w:val="24"/>
          <w:szCs w:val="24"/>
        </w:rPr>
        <w:t>Collagen</w:t>
      </w:r>
      <w:r>
        <w:rPr>
          <w:rFonts w:ascii="Arial" w:hAnsi="Arial" w:cs="Arial"/>
          <w:sz w:val="24"/>
          <w:szCs w:val="24"/>
        </w:rPr>
        <w:t xml:space="preserve">,  </w:t>
      </w:r>
      <w:r w:rsidRPr="00677751">
        <w:rPr>
          <w:rFonts w:ascii="Arial" w:hAnsi="Arial" w:cs="Arial"/>
          <w:sz w:val="24"/>
          <w:szCs w:val="24"/>
        </w:rPr>
        <w:t>Black</w:t>
      </w:r>
      <w:proofErr w:type="gramEnd"/>
      <w:r w:rsidRPr="00677751">
        <w:rPr>
          <w:rFonts w:ascii="Arial" w:hAnsi="Arial" w:cs="Arial"/>
          <w:sz w:val="24"/>
          <w:szCs w:val="24"/>
        </w:rPr>
        <w:t xml:space="preserve"> – Nuclei</w:t>
      </w:r>
      <w:r>
        <w:rPr>
          <w:rFonts w:ascii="Arial" w:hAnsi="Arial" w:cs="Arial"/>
          <w:sz w:val="24"/>
          <w:szCs w:val="24"/>
        </w:rPr>
        <w:t xml:space="preserve">,  </w:t>
      </w:r>
      <w:r w:rsidRPr="00677751">
        <w:rPr>
          <w:rFonts w:ascii="Arial" w:hAnsi="Arial" w:cs="Arial"/>
          <w:sz w:val="24"/>
          <w:szCs w:val="24"/>
        </w:rPr>
        <w:t xml:space="preserve">Red – Muscle Fibers </w:t>
      </w:r>
      <w:r>
        <w:rPr>
          <w:rFonts w:ascii="Arial" w:hAnsi="Arial" w:cs="Arial"/>
          <w:sz w:val="24"/>
          <w:szCs w:val="24"/>
        </w:rPr>
        <w:t xml:space="preserve">, </w:t>
      </w:r>
      <w:r w:rsidRPr="00677751">
        <w:rPr>
          <w:rFonts w:ascii="Arial" w:hAnsi="Arial" w:cs="Arial"/>
          <w:sz w:val="24"/>
          <w:szCs w:val="24"/>
        </w:rPr>
        <w:t>Red – Cytoplasm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6C7F7CFF" w14:textId="77777777" w:rsidR="00677751" w:rsidRPr="00677751" w:rsidRDefault="00677751" w:rsidP="0067775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7751">
        <w:rPr>
          <w:rFonts w:ascii="Arial" w:hAnsi="Arial" w:cs="Arial"/>
          <w:sz w:val="24"/>
          <w:szCs w:val="24"/>
        </w:rPr>
        <w:t>Yellow – Everything Else</w:t>
      </w:r>
    </w:p>
    <w:p w14:paraId="71EB2A09" w14:textId="77777777" w:rsidR="00677751" w:rsidRPr="00677751" w:rsidRDefault="00677751" w:rsidP="00677751">
      <w:pPr>
        <w:rPr>
          <w:rFonts w:ascii="Arial" w:hAnsi="Arial" w:cs="Arial"/>
          <w:b/>
        </w:rPr>
      </w:pPr>
      <w:r w:rsidRPr="00677751">
        <w:rPr>
          <w:rFonts w:ascii="Arial" w:hAnsi="Arial" w:cs="Arial"/>
          <w:b/>
        </w:rPr>
        <w:t>Notes:</w:t>
      </w:r>
    </w:p>
    <w:p w14:paraId="65B88E95" w14:textId="77777777" w:rsidR="00677751" w:rsidRDefault="00BB14F7" w:rsidP="00677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B14F7">
        <w:rPr>
          <w:rFonts w:ascii="Arial" w:hAnsi="Arial" w:cs="Arial"/>
          <w:sz w:val="24"/>
          <w:szCs w:val="24"/>
        </w:rPr>
        <w:t xml:space="preserve">This histochemical stain is best when using paraffin sections, </w:t>
      </w:r>
    </w:p>
    <w:p w14:paraId="7442D8F2" w14:textId="77777777" w:rsidR="00BB14F7" w:rsidRDefault="00BB14F7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4389AE8E" w14:textId="77777777" w:rsidR="00BB14F7" w:rsidRDefault="00BB14F7" w:rsidP="00BB14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example image of mouse skin stained with Trichrome:</w:t>
      </w:r>
    </w:p>
    <w:p w14:paraId="13FA5422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057A47F7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531EAC" wp14:editId="6DCCA005">
            <wp:simplePos x="0" y="0"/>
            <wp:positionH relativeFrom="column">
              <wp:posOffset>1016000</wp:posOffset>
            </wp:positionH>
            <wp:positionV relativeFrom="paragraph">
              <wp:posOffset>102870</wp:posOffset>
            </wp:positionV>
            <wp:extent cx="2263140" cy="1703705"/>
            <wp:effectExtent l="0" t="0" r="0" b="0"/>
            <wp:wrapSquare wrapText="bothSides"/>
            <wp:docPr id="14" name="Picture 14" descr="Mo skin A 1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skin A 100x.jpg"/>
                    <pic:cNvPicPr/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03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77744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68174FCE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615D8573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5BD57108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265E1B19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034243BC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202D38DF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01EB97FD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46326847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16D73B72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  <w:r w:rsidRPr="004557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E23E39D" wp14:editId="21DFEB5C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4121150"/>
            <wp:effectExtent l="0" t="0" r="0" b="0"/>
            <wp:wrapSquare wrapText="bothSides"/>
            <wp:docPr id="35841" name="Picture 35841" descr="gp3 d14 t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" name="Picture 1" descr="gp3 d14 trich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7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DC6D" wp14:editId="2098F753">
                <wp:simplePos x="0" y="0"/>
                <wp:positionH relativeFrom="column">
                  <wp:posOffset>0</wp:posOffset>
                </wp:positionH>
                <wp:positionV relativeFrom="paragraph">
                  <wp:posOffset>4495800</wp:posOffset>
                </wp:positionV>
                <wp:extent cx="7086600" cy="704850"/>
                <wp:effectExtent l="0" t="0" r="0" b="8890"/>
                <wp:wrapSquare wrapText="bothSides"/>
                <wp:docPr id="3584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29AE3" w14:textId="77777777" w:rsidR="00455772" w:rsidRPr="00455772" w:rsidRDefault="00455772" w:rsidP="004557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55772">
                              <w:rPr>
                                <w:rFonts w:ascii="Arial" w:eastAsia="ヒラギノ角ゴ Pro W3" w:hAnsi="Arial" w:cs="ヒラギノ角ゴ Pro W3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 example of Trichrome stains </w:t>
                            </w:r>
                            <w:r>
                              <w:rPr>
                                <w:rFonts w:ascii="Arial" w:eastAsia="ヒラギノ角ゴ Pro W3" w:hAnsi="Arial" w:cs="ヒラギノ角ゴ Pro W3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 paraffin sections of mouse skin, showing the blue staining of collagen in the dermis of mouse skin, to help</w:t>
                            </w:r>
                            <w:r w:rsidRPr="00455772">
                              <w:rPr>
                                <w:rFonts w:ascii="Arial" w:eastAsia="ヒラギノ角ゴ Pro W3" w:hAnsi="Arial" w:cs="ヒラギノ角ゴ Pro W3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q</w:t>
                            </w:r>
                            <w:r>
                              <w:rPr>
                                <w:rFonts w:ascii="Arial" w:eastAsia="ヒラギノ角ゴ Pro W3" w:hAnsi="Arial" w:cs="ヒラギノ角ゴ Pro W3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uantify the scarring that occurs as part of the healing process after a wound.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354pt;width:558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" filled="f" stroked="f">
                <v:textbox style="mso-fit-shape-to-text:t">
                  <w:txbxContent>
                    <w:p w14:paraId="07629AE3" w14:textId="77777777" w:rsidR="00455772" w:rsidRPr="00455772" w:rsidRDefault="00455772" w:rsidP="004557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55772">
                        <w:rPr>
                          <w:rFonts w:ascii="Arial" w:eastAsia="ヒラギノ角ゴ Pro W3" w:hAnsi="Arial" w:cs="ヒラギノ角ゴ Pro W3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 example of Trichrome stains </w:t>
                      </w:r>
                      <w:r>
                        <w:rPr>
                          <w:rFonts w:ascii="Arial" w:eastAsia="ヒラギノ角ゴ Pro W3" w:hAnsi="Arial" w:cs="ヒラギノ角ゴ Pro W3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 paraffin sections of mouse skin, showing the blue staining of collagen in the </w:t>
                      </w:r>
                      <w:r>
                        <w:rPr>
                          <w:rFonts w:ascii="Arial" w:eastAsia="ヒラギノ角ゴ Pro W3" w:hAnsi="Arial" w:cs="ヒラギノ角ゴ Pro W3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dermis of mouse skin</w:t>
                      </w:r>
                      <w:r>
                        <w:rPr>
                          <w:rFonts w:ascii="Arial" w:eastAsia="ヒラギノ角ゴ Pro W3" w:hAnsi="Arial" w:cs="ヒラギノ角ゴ Pro W3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to help</w:t>
                      </w:r>
                      <w:r w:rsidRPr="00455772">
                        <w:rPr>
                          <w:rFonts w:ascii="Arial" w:eastAsia="ヒラギノ角ゴ Pro W3" w:hAnsi="Arial" w:cs="ヒラギノ角ゴ Pro W3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q</w:t>
                      </w:r>
                      <w:r>
                        <w:rPr>
                          <w:rFonts w:ascii="Arial" w:eastAsia="ヒラギノ角ゴ Pro W3" w:hAnsi="Arial" w:cs="ヒラギノ角ゴ Pro W3"/>
                          <w:color w:val="000000" w:themeColor="text1"/>
                          <w:kern w:val="24"/>
                          <w:sz w:val="28"/>
                          <w:szCs w:val="28"/>
                        </w:rPr>
                        <w:t>uantify the scarring that occurs as part of the healing process after a wound.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0521D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3F2B0A3C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7134889E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076A1A06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0C751F24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04385C15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0131475B" w14:textId="77777777" w:rsidR="00BB14F7" w:rsidRPr="00BB14F7" w:rsidRDefault="00BB14F7" w:rsidP="00BB14F7">
      <w:pPr>
        <w:pStyle w:val="ListParagraph"/>
        <w:rPr>
          <w:rFonts w:ascii="Arial" w:hAnsi="Arial" w:cs="Arial"/>
          <w:sz w:val="24"/>
          <w:szCs w:val="24"/>
        </w:rPr>
      </w:pPr>
    </w:p>
    <w:sectPr w:rsidR="00BB14F7" w:rsidRPr="00BB14F7" w:rsidSect="00677751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9B37" w14:textId="77777777" w:rsidR="00F210D8" w:rsidRDefault="00F210D8" w:rsidP="00677751">
      <w:r>
        <w:separator/>
      </w:r>
    </w:p>
  </w:endnote>
  <w:endnote w:type="continuationSeparator" w:id="0">
    <w:p w14:paraId="1048B31F" w14:textId="77777777" w:rsidR="00F210D8" w:rsidRDefault="00F210D8" w:rsidP="006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A3C4" w14:textId="77777777" w:rsidR="00F210D8" w:rsidRDefault="00F210D8" w:rsidP="00677751">
      <w:r>
        <w:separator/>
      </w:r>
    </w:p>
  </w:footnote>
  <w:footnote w:type="continuationSeparator" w:id="0">
    <w:p w14:paraId="56D60941" w14:textId="77777777" w:rsidR="00F210D8" w:rsidRDefault="00F210D8" w:rsidP="0067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BF75" w14:textId="6B37F9BE" w:rsidR="00677751" w:rsidRPr="00677751" w:rsidRDefault="008F65C2">
    <w:pPr>
      <w:pStyle w:val="Header"/>
      <w:rPr>
        <w:rFonts w:ascii="Arial" w:hAnsi="Arial" w:cs="Arial"/>
      </w:rPr>
    </w:pPr>
    <w:r w:rsidRPr="008C052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9C1331D" wp14:editId="3BF9A036">
          <wp:simplePos x="0" y="0"/>
          <wp:positionH relativeFrom="column">
            <wp:posOffset>274320</wp:posOffset>
          </wp:positionH>
          <wp:positionV relativeFrom="paragraph">
            <wp:posOffset>-243840</wp:posOffset>
          </wp:positionV>
          <wp:extent cx="574040" cy="428625"/>
          <wp:effectExtent l="0" t="0" r="0" b="3175"/>
          <wp:wrapSquare wrapText="bothSides"/>
          <wp:docPr id="1" name="Picture 1" descr="logoCo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9" name="Picture 9" descr="logoCo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28625"/>
                  </a:xfrm>
                  <a:prstGeom prst="rect">
                    <a:avLst/>
                  </a:prstGeom>
                  <a:solidFill>
                    <a:srgbClr val="00CCFF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</w:t>
    </w:r>
    <w:r w:rsidR="00677751" w:rsidRPr="00677751">
      <w:rPr>
        <w:rFonts w:ascii="Arial" w:hAnsi="Arial" w:cs="Arial"/>
      </w:rPr>
      <w:t>Trichrome Histochemistry</w:t>
    </w:r>
    <w:r>
      <w:rPr>
        <w:rFonts w:ascii="Arial" w:hAnsi="Arial" w:cs="Arial"/>
      </w:rPr>
      <w:t>.           mousepheno.ucsd.edu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D05"/>
    <w:multiLevelType w:val="hybridMultilevel"/>
    <w:tmpl w:val="EF8C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AB1"/>
    <w:multiLevelType w:val="hybridMultilevel"/>
    <w:tmpl w:val="8E8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6EE8"/>
    <w:multiLevelType w:val="hybridMultilevel"/>
    <w:tmpl w:val="F6303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3922"/>
    <w:multiLevelType w:val="hybridMultilevel"/>
    <w:tmpl w:val="2C90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1BC0"/>
    <w:multiLevelType w:val="hybridMultilevel"/>
    <w:tmpl w:val="7AD4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4098"/>
    <w:multiLevelType w:val="hybridMultilevel"/>
    <w:tmpl w:val="8DC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51"/>
    <w:rsid w:val="00455772"/>
    <w:rsid w:val="00677751"/>
    <w:rsid w:val="008F65C2"/>
    <w:rsid w:val="00925A26"/>
    <w:rsid w:val="00BB14F7"/>
    <w:rsid w:val="00D224D8"/>
    <w:rsid w:val="00F210D8"/>
    <w:rsid w:val="00FF7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4F0D8"/>
  <w15:docId w15:val="{4DABE2FC-030F-9A44-B3D3-34E962D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5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7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51"/>
  </w:style>
  <w:style w:type="paragraph" w:styleId="Footer">
    <w:name w:val="footer"/>
    <w:basedOn w:val="Normal"/>
    <w:link w:val="FooterChar"/>
    <w:uiPriority w:val="99"/>
    <w:unhideWhenUsed/>
    <w:rsid w:val="00677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51"/>
  </w:style>
  <w:style w:type="paragraph" w:styleId="BalloonText">
    <w:name w:val="Balloon Text"/>
    <w:basedOn w:val="Normal"/>
    <w:link w:val="BalloonTextChar"/>
    <w:uiPriority w:val="99"/>
    <w:semiHidden/>
    <w:unhideWhenUsed/>
    <w:rsid w:val="00BB1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F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57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1941</Characters>
  <Application>Microsoft Office Word</Application>
  <DocSecurity>0</DocSecurity>
  <Lines>16</Lines>
  <Paragraphs>4</Paragraphs>
  <ScaleCrop>false</ScaleCrop>
  <Company>UCSD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Varki</dc:creator>
  <cp:keywords/>
  <dc:description/>
  <cp:lastModifiedBy>Varki, Nissi</cp:lastModifiedBy>
  <cp:revision>4</cp:revision>
  <cp:lastPrinted>2018-02-09T19:03:00Z</cp:lastPrinted>
  <dcterms:created xsi:type="dcterms:W3CDTF">2018-02-09T18:36:00Z</dcterms:created>
  <dcterms:modified xsi:type="dcterms:W3CDTF">2019-04-29T20:27:00Z</dcterms:modified>
</cp:coreProperties>
</file>